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CA" w:rsidRDefault="005339CA" w:rsidP="001C75B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46"/>
        </w:rPr>
      </w:pPr>
    </w:p>
    <w:p w:rsidR="001C75BE" w:rsidRDefault="00B62E25" w:rsidP="001C75B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46"/>
        </w:rPr>
      </w:pPr>
      <w:r>
        <w:rPr>
          <w:rFonts w:ascii="Calibri" w:hAnsi="Calibri" w:cs="Calibri"/>
          <w:b/>
          <w:bCs/>
          <w:noProof/>
          <w:sz w:val="28"/>
          <w:szCs w:val="46"/>
          <w:lang w:val="es-PE" w:eastAsia="es-PE"/>
        </w:rPr>
        <w:drawing>
          <wp:inline distT="0" distB="0" distL="0" distR="0">
            <wp:extent cx="2310765" cy="774065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5BE" w:rsidRDefault="001C75BE" w:rsidP="001C75B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46"/>
        </w:rPr>
      </w:pPr>
    </w:p>
    <w:p w:rsidR="001C75BE" w:rsidRPr="005339CA" w:rsidRDefault="001A6534" w:rsidP="001C75B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F243E"/>
          <w:sz w:val="26"/>
          <w:szCs w:val="46"/>
        </w:rPr>
      </w:pPr>
      <w:r w:rsidRPr="005339CA">
        <w:rPr>
          <w:rFonts w:ascii="Calibri" w:hAnsi="Calibri" w:cs="Calibri"/>
          <w:b/>
          <w:bCs/>
          <w:color w:val="0F243E"/>
          <w:sz w:val="26"/>
          <w:szCs w:val="46"/>
        </w:rPr>
        <w:t xml:space="preserve">GRUPO PROPUESTA CIUDADANA </w:t>
      </w:r>
      <w:bookmarkStart w:id="0" w:name="_GoBack"/>
      <w:bookmarkEnd w:id="0"/>
      <w:r w:rsidR="001C75BE" w:rsidRPr="005339CA">
        <w:rPr>
          <w:rFonts w:ascii="Calibri" w:hAnsi="Calibri" w:cs="Calibri"/>
          <w:b/>
          <w:bCs/>
          <w:color w:val="0F243E"/>
          <w:sz w:val="26"/>
          <w:szCs w:val="46"/>
        </w:rPr>
        <w:t xml:space="preserve">ESTÁ ENTRE LAS </w:t>
      </w:r>
      <w:r w:rsidR="006547D2" w:rsidRPr="005339CA">
        <w:rPr>
          <w:rFonts w:ascii="Calibri" w:hAnsi="Calibri" w:cs="Calibri"/>
          <w:b/>
          <w:bCs/>
          <w:color w:val="0F243E"/>
          <w:sz w:val="26"/>
          <w:szCs w:val="46"/>
        </w:rPr>
        <w:t>5</w:t>
      </w:r>
      <w:r w:rsidR="001C75BE" w:rsidRPr="005339CA">
        <w:rPr>
          <w:rFonts w:ascii="Calibri" w:hAnsi="Calibri" w:cs="Calibri"/>
          <w:b/>
          <w:bCs/>
          <w:color w:val="0F243E"/>
          <w:sz w:val="26"/>
          <w:szCs w:val="46"/>
        </w:rPr>
        <w:t xml:space="preserve">0 </w:t>
      </w:r>
      <w:r w:rsidR="006547D2" w:rsidRPr="005339CA">
        <w:rPr>
          <w:rFonts w:ascii="Calibri" w:hAnsi="Calibri" w:cs="Calibri"/>
          <w:b/>
          <w:bCs/>
          <w:color w:val="0F243E"/>
          <w:sz w:val="26"/>
          <w:szCs w:val="46"/>
        </w:rPr>
        <w:t>THINK TANK EN AMERICA CENTRAL Y DEL SUR</w:t>
      </w:r>
    </w:p>
    <w:p w:rsidR="001C75BE" w:rsidRPr="00337542" w:rsidRDefault="001C75BE" w:rsidP="001C75B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46"/>
        </w:rPr>
      </w:pPr>
    </w:p>
    <w:p w:rsidR="001C75BE" w:rsidRDefault="001C75BE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46"/>
        </w:rPr>
      </w:pPr>
      <w:r>
        <w:rPr>
          <w:rFonts w:ascii="Calibri" w:hAnsi="Calibri" w:cs="Calibri"/>
          <w:bCs/>
          <w:sz w:val="28"/>
          <w:szCs w:val="46"/>
        </w:rPr>
        <w:t xml:space="preserve">Por </w:t>
      </w:r>
      <w:r w:rsidR="003E6E3E">
        <w:rPr>
          <w:rFonts w:ascii="Calibri" w:hAnsi="Calibri" w:cs="Calibri"/>
          <w:bCs/>
          <w:sz w:val="28"/>
          <w:szCs w:val="46"/>
        </w:rPr>
        <w:t>cuarto</w:t>
      </w:r>
      <w:r>
        <w:rPr>
          <w:rFonts w:ascii="Calibri" w:hAnsi="Calibri" w:cs="Calibri"/>
          <w:bCs/>
          <w:sz w:val="28"/>
          <w:szCs w:val="46"/>
        </w:rPr>
        <w:t xml:space="preserve"> año consecutivo, </w:t>
      </w:r>
      <w:r w:rsidR="00365F9F">
        <w:rPr>
          <w:rFonts w:ascii="Calibri" w:hAnsi="Calibri" w:cs="Calibri"/>
          <w:bCs/>
          <w:sz w:val="28"/>
          <w:szCs w:val="46"/>
        </w:rPr>
        <w:t xml:space="preserve">el </w:t>
      </w:r>
      <w:r w:rsidR="006547D2">
        <w:rPr>
          <w:rFonts w:ascii="Calibri" w:hAnsi="Calibri" w:cs="Calibri"/>
          <w:bCs/>
          <w:sz w:val="28"/>
          <w:szCs w:val="46"/>
        </w:rPr>
        <w:t>Grupo Propuesta Ciudadana</w:t>
      </w:r>
      <w:r>
        <w:rPr>
          <w:rFonts w:ascii="Calibri" w:hAnsi="Calibri" w:cs="Calibri"/>
          <w:bCs/>
          <w:sz w:val="28"/>
          <w:szCs w:val="46"/>
        </w:rPr>
        <w:t xml:space="preserve"> </w:t>
      </w:r>
      <w:r w:rsidRPr="00337542">
        <w:rPr>
          <w:rFonts w:ascii="Calibri" w:hAnsi="Calibri" w:cs="Calibri"/>
          <w:bCs/>
          <w:sz w:val="28"/>
          <w:szCs w:val="46"/>
        </w:rPr>
        <w:t xml:space="preserve">fue </w:t>
      </w:r>
      <w:r w:rsidR="006547D2" w:rsidRPr="00337542">
        <w:rPr>
          <w:rFonts w:ascii="Calibri" w:hAnsi="Calibri" w:cs="Calibri"/>
          <w:bCs/>
          <w:sz w:val="28"/>
          <w:szCs w:val="46"/>
        </w:rPr>
        <w:t>calificad</w:t>
      </w:r>
      <w:r w:rsidR="006547D2">
        <w:rPr>
          <w:rFonts w:ascii="Calibri" w:hAnsi="Calibri" w:cs="Calibri"/>
          <w:bCs/>
          <w:sz w:val="28"/>
          <w:szCs w:val="46"/>
        </w:rPr>
        <w:t>o</w:t>
      </w:r>
      <w:r w:rsidRPr="00337542">
        <w:rPr>
          <w:rFonts w:ascii="Calibri" w:hAnsi="Calibri" w:cs="Calibri"/>
          <w:bCs/>
          <w:sz w:val="28"/>
          <w:szCs w:val="46"/>
        </w:rPr>
        <w:t xml:space="preserve"> entre las </w:t>
      </w:r>
      <w:r w:rsidR="006547D2">
        <w:rPr>
          <w:rFonts w:ascii="Calibri" w:hAnsi="Calibri" w:cs="Calibri"/>
          <w:bCs/>
          <w:sz w:val="28"/>
          <w:szCs w:val="46"/>
        </w:rPr>
        <w:t>5</w:t>
      </w:r>
      <w:r w:rsidRPr="00337542">
        <w:rPr>
          <w:rFonts w:ascii="Calibri" w:hAnsi="Calibri" w:cs="Calibri"/>
          <w:bCs/>
          <w:sz w:val="28"/>
          <w:szCs w:val="46"/>
        </w:rPr>
        <w:t xml:space="preserve">0 </w:t>
      </w:r>
      <w:r w:rsidR="006547D2">
        <w:rPr>
          <w:rFonts w:ascii="Calibri" w:hAnsi="Calibri" w:cs="Calibri"/>
          <w:bCs/>
          <w:sz w:val="28"/>
          <w:szCs w:val="46"/>
        </w:rPr>
        <w:t xml:space="preserve">think tank de América Central y del Sur, </w:t>
      </w:r>
      <w:r>
        <w:rPr>
          <w:rFonts w:ascii="Calibri" w:hAnsi="Calibri" w:cs="Calibri"/>
          <w:bCs/>
          <w:sz w:val="28"/>
          <w:szCs w:val="46"/>
        </w:rPr>
        <w:t xml:space="preserve">ocupando el puesto </w:t>
      </w:r>
      <w:r w:rsidR="003E6E3E">
        <w:rPr>
          <w:rFonts w:ascii="Calibri" w:hAnsi="Calibri" w:cs="Calibri"/>
          <w:bCs/>
          <w:sz w:val="28"/>
          <w:szCs w:val="46"/>
        </w:rPr>
        <w:t>40</w:t>
      </w:r>
      <w:r w:rsidRPr="00337542">
        <w:rPr>
          <w:rFonts w:ascii="Calibri" w:hAnsi="Calibri" w:cs="Calibri"/>
          <w:bCs/>
          <w:sz w:val="28"/>
          <w:szCs w:val="46"/>
        </w:rPr>
        <w:t xml:space="preserve">. </w:t>
      </w:r>
      <w:r>
        <w:rPr>
          <w:rFonts w:ascii="Calibri" w:hAnsi="Calibri" w:cs="Calibri"/>
          <w:sz w:val="28"/>
          <w:szCs w:val="46"/>
        </w:rPr>
        <w:t xml:space="preserve">El </w:t>
      </w:r>
      <w:r w:rsidRPr="00337542">
        <w:rPr>
          <w:rFonts w:ascii="Calibri" w:hAnsi="Calibri" w:cs="Calibri"/>
          <w:sz w:val="28"/>
          <w:szCs w:val="46"/>
        </w:rPr>
        <w:t xml:space="preserve">Programa de Relaciones Internacionales de </w:t>
      </w:r>
      <w:smartTag w:uri="urn:schemas-microsoft-com:office:smarttags" w:element="PersonName">
        <w:smartTagPr>
          <w:attr w:name="ProductID" w:val="la Universidad"/>
        </w:smartTagPr>
        <w:r w:rsidRPr="00337542">
          <w:rPr>
            <w:rFonts w:ascii="Calibri" w:hAnsi="Calibri" w:cs="Calibri"/>
            <w:sz w:val="28"/>
            <w:szCs w:val="46"/>
          </w:rPr>
          <w:t>la Uni</w:t>
        </w:r>
        <w:r>
          <w:rPr>
            <w:rFonts w:ascii="Calibri" w:hAnsi="Calibri" w:cs="Calibri"/>
            <w:sz w:val="28"/>
            <w:szCs w:val="46"/>
          </w:rPr>
          <w:t>versidad</w:t>
        </w:r>
      </w:smartTag>
      <w:r>
        <w:rPr>
          <w:rFonts w:ascii="Calibri" w:hAnsi="Calibri" w:cs="Calibri"/>
          <w:sz w:val="28"/>
          <w:szCs w:val="46"/>
        </w:rPr>
        <w:t xml:space="preserve"> de Pennsylvania (EEUU) elabora cada año el</w:t>
      </w:r>
      <w:r w:rsidRPr="00337542">
        <w:rPr>
          <w:rFonts w:ascii="Calibri" w:hAnsi="Calibri" w:cs="Calibri"/>
          <w:sz w:val="28"/>
          <w:szCs w:val="46"/>
        </w:rPr>
        <w:t xml:space="preserve"> Índice Global de Centros de Pensamiento (Índice Global Go To Think Tanks 201</w:t>
      </w:r>
      <w:r w:rsidR="003E6E3E">
        <w:rPr>
          <w:rFonts w:ascii="Calibri" w:hAnsi="Calibri" w:cs="Calibri"/>
          <w:sz w:val="28"/>
          <w:szCs w:val="46"/>
        </w:rPr>
        <w:t>5</w:t>
      </w:r>
      <w:r>
        <w:rPr>
          <w:rFonts w:ascii="Calibri" w:hAnsi="Calibri" w:cs="Calibri"/>
          <w:sz w:val="28"/>
          <w:szCs w:val="46"/>
        </w:rPr>
        <w:t>), estudio altamente metódico y prestigioso.</w:t>
      </w:r>
    </w:p>
    <w:p w:rsidR="001C75BE" w:rsidRPr="00337542" w:rsidRDefault="001C75BE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46"/>
        </w:rPr>
      </w:pPr>
    </w:p>
    <w:p w:rsidR="001C75BE" w:rsidRDefault="001C75BE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color w:val="262626"/>
          <w:sz w:val="28"/>
          <w:szCs w:val="34"/>
        </w:rPr>
      </w:pPr>
      <w:r>
        <w:rPr>
          <w:rFonts w:ascii="Calibri" w:hAnsi="Calibri"/>
          <w:color w:val="262626"/>
          <w:sz w:val="28"/>
          <w:szCs w:val="34"/>
        </w:rPr>
        <w:t>Para el análisis fueron nominadas 6</w:t>
      </w:r>
      <w:r w:rsidR="006547D2">
        <w:rPr>
          <w:rFonts w:ascii="Calibri" w:hAnsi="Calibri"/>
          <w:color w:val="262626"/>
          <w:sz w:val="28"/>
          <w:szCs w:val="34"/>
        </w:rPr>
        <w:t>,</w:t>
      </w:r>
      <w:r>
        <w:rPr>
          <w:rFonts w:ascii="Calibri" w:hAnsi="Calibri"/>
          <w:color w:val="262626"/>
          <w:sz w:val="28"/>
          <w:szCs w:val="34"/>
        </w:rPr>
        <w:t>8</w:t>
      </w:r>
      <w:r w:rsidR="003E6E3E">
        <w:rPr>
          <w:rFonts w:ascii="Calibri" w:hAnsi="Calibri"/>
          <w:color w:val="262626"/>
          <w:sz w:val="28"/>
          <w:szCs w:val="34"/>
        </w:rPr>
        <w:t>46</w:t>
      </w:r>
      <w:r>
        <w:rPr>
          <w:rFonts w:ascii="Calibri" w:hAnsi="Calibri"/>
          <w:color w:val="262626"/>
          <w:sz w:val="28"/>
          <w:szCs w:val="34"/>
        </w:rPr>
        <w:t xml:space="preserve"> instituciones de 182 países divididos en diferentes categorías. Un total de 20.000 personas de todo el mundo fueron consultadas para realizar el ranking, entre ellos actores políticos, personalidades públicas y privadas, analistas y periodistas de diversos continentes.</w:t>
      </w:r>
    </w:p>
    <w:p w:rsidR="001C75BE" w:rsidRDefault="001C75BE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color w:val="262626"/>
          <w:sz w:val="28"/>
          <w:szCs w:val="34"/>
        </w:rPr>
      </w:pPr>
    </w:p>
    <w:p w:rsidR="001C75BE" w:rsidRPr="00337542" w:rsidRDefault="001C75BE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46"/>
        </w:rPr>
      </w:pPr>
      <w:r>
        <w:rPr>
          <w:rFonts w:ascii="Calibri" w:hAnsi="Calibri" w:cs="Calibri"/>
          <w:sz w:val="28"/>
          <w:szCs w:val="46"/>
        </w:rPr>
        <w:t xml:space="preserve">De </w:t>
      </w:r>
      <w:r w:rsidR="006547D2">
        <w:rPr>
          <w:rFonts w:ascii="Calibri" w:hAnsi="Calibri" w:cs="Calibri"/>
          <w:sz w:val="28"/>
          <w:szCs w:val="46"/>
        </w:rPr>
        <w:t>Perú</w:t>
      </w:r>
      <w:r w:rsidRPr="00337542">
        <w:rPr>
          <w:rFonts w:ascii="Calibri" w:hAnsi="Calibri" w:cs="Calibri"/>
          <w:sz w:val="28"/>
          <w:szCs w:val="46"/>
        </w:rPr>
        <w:t xml:space="preserve"> </w:t>
      </w:r>
      <w:r>
        <w:rPr>
          <w:rFonts w:ascii="Calibri" w:hAnsi="Calibri" w:cs="Calibri"/>
          <w:sz w:val="28"/>
          <w:szCs w:val="46"/>
        </w:rPr>
        <w:t xml:space="preserve">fueron nominadas </w:t>
      </w:r>
      <w:r w:rsidR="006547D2">
        <w:rPr>
          <w:rFonts w:ascii="Calibri" w:hAnsi="Calibri" w:cs="Calibri"/>
          <w:sz w:val="28"/>
          <w:szCs w:val="46"/>
        </w:rPr>
        <w:t>3</w:t>
      </w:r>
      <w:r w:rsidR="003E6E3E">
        <w:rPr>
          <w:rFonts w:ascii="Calibri" w:hAnsi="Calibri" w:cs="Calibri"/>
          <w:sz w:val="28"/>
          <w:szCs w:val="46"/>
        </w:rPr>
        <w:t>3</w:t>
      </w:r>
      <w:r>
        <w:rPr>
          <w:rFonts w:ascii="Calibri" w:hAnsi="Calibri" w:cs="Calibri"/>
          <w:sz w:val="28"/>
          <w:szCs w:val="46"/>
        </w:rPr>
        <w:t xml:space="preserve"> instituciones, </w:t>
      </w:r>
      <w:r w:rsidR="00365F9F">
        <w:rPr>
          <w:rFonts w:ascii="Calibri" w:hAnsi="Calibri" w:cs="Calibri"/>
          <w:sz w:val="28"/>
          <w:szCs w:val="46"/>
        </w:rPr>
        <w:t xml:space="preserve">destacando </w:t>
      </w:r>
      <w:r>
        <w:rPr>
          <w:rFonts w:ascii="Calibri" w:hAnsi="Calibri" w:cs="Calibri"/>
          <w:sz w:val="28"/>
          <w:szCs w:val="46"/>
        </w:rPr>
        <w:t xml:space="preserve">cuatro </w:t>
      </w:r>
      <w:r w:rsidRPr="00337542">
        <w:rPr>
          <w:rFonts w:ascii="Calibri" w:hAnsi="Calibri" w:cs="Calibri"/>
          <w:sz w:val="28"/>
          <w:szCs w:val="46"/>
        </w:rPr>
        <w:t xml:space="preserve">de ellas </w:t>
      </w:r>
      <w:r>
        <w:rPr>
          <w:rFonts w:ascii="Calibri" w:hAnsi="Calibri" w:cs="Calibri"/>
          <w:sz w:val="28"/>
          <w:szCs w:val="46"/>
        </w:rPr>
        <w:t>en las diferentes categorías</w:t>
      </w:r>
      <w:r w:rsidRPr="00337542">
        <w:rPr>
          <w:rFonts w:ascii="Calibri" w:hAnsi="Calibri" w:cs="Calibri"/>
          <w:sz w:val="28"/>
          <w:szCs w:val="46"/>
        </w:rPr>
        <w:t xml:space="preserve">. </w:t>
      </w:r>
    </w:p>
    <w:p w:rsidR="001C75BE" w:rsidRPr="00337542" w:rsidRDefault="001C75BE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46"/>
        </w:rPr>
      </w:pPr>
    </w:p>
    <w:p w:rsidR="001C75BE" w:rsidRPr="00337542" w:rsidRDefault="006547D2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color w:val="262626"/>
          <w:sz w:val="28"/>
          <w:szCs w:val="34"/>
        </w:rPr>
      </w:pPr>
      <w:r w:rsidRPr="00A47DB7">
        <w:rPr>
          <w:rFonts w:ascii="Calibri" w:hAnsi="Calibri"/>
          <w:b/>
          <w:color w:val="262626"/>
          <w:sz w:val="28"/>
          <w:szCs w:val="34"/>
        </w:rPr>
        <w:t>GRUPO PROPUESTA CIUDADANA</w:t>
      </w:r>
      <w:r w:rsidR="001C75BE" w:rsidRPr="00337542">
        <w:rPr>
          <w:rFonts w:ascii="Calibri" w:hAnsi="Calibri"/>
          <w:color w:val="262626"/>
          <w:sz w:val="28"/>
          <w:szCs w:val="34"/>
        </w:rPr>
        <w:t xml:space="preserve"> </w:t>
      </w:r>
      <w:r w:rsidR="001C75BE">
        <w:rPr>
          <w:rFonts w:ascii="Calibri" w:hAnsi="Calibri"/>
          <w:color w:val="262626"/>
          <w:sz w:val="28"/>
          <w:szCs w:val="34"/>
        </w:rPr>
        <w:t>ocupa</w:t>
      </w:r>
      <w:r w:rsidR="001C75BE" w:rsidRPr="00337542">
        <w:rPr>
          <w:rFonts w:ascii="Calibri" w:hAnsi="Calibri"/>
          <w:color w:val="262626"/>
          <w:sz w:val="28"/>
          <w:szCs w:val="34"/>
        </w:rPr>
        <w:t xml:space="preserve"> la posición </w:t>
      </w:r>
      <w:r w:rsidR="003E6E3E">
        <w:rPr>
          <w:rFonts w:ascii="Calibri" w:hAnsi="Calibri"/>
          <w:color w:val="262626"/>
          <w:sz w:val="28"/>
          <w:szCs w:val="34"/>
        </w:rPr>
        <w:t>40</w:t>
      </w:r>
      <w:r w:rsidR="001C75BE" w:rsidRPr="00337542">
        <w:rPr>
          <w:rFonts w:ascii="Calibri" w:hAnsi="Calibri"/>
          <w:color w:val="262626"/>
          <w:sz w:val="28"/>
          <w:szCs w:val="34"/>
        </w:rPr>
        <w:t xml:space="preserve"> </w:t>
      </w:r>
      <w:r>
        <w:rPr>
          <w:rFonts w:ascii="Calibri" w:hAnsi="Calibri"/>
          <w:color w:val="262626"/>
          <w:sz w:val="28"/>
          <w:szCs w:val="34"/>
        </w:rPr>
        <w:t xml:space="preserve">en </w:t>
      </w:r>
      <w:r>
        <w:rPr>
          <w:rFonts w:ascii="Calibri" w:hAnsi="Calibri" w:cs="Calibri"/>
          <w:bCs/>
          <w:sz w:val="28"/>
          <w:szCs w:val="46"/>
        </w:rPr>
        <w:t>América Central y del Sur</w:t>
      </w:r>
      <w:r>
        <w:rPr>
          <w:rFonts w:ascii="Calibri" w:hAnsi="Calibri"/>
          <w:color w:val="262626"/>
          <w:sz w:val="28"/>
          <w:szCs w:val="34"/>
        </w:rPr>
        <w:t xml:space="preserve"> </w:t>
      </w:r>
      <w:r w:rsidR="001C75BE">
        <w:rPr>
          <w:rFonts w:ascii="Calibri" w:hAnsi="Calibri"/>
          <w:color w:val="262626"/>
          <w:sz w:val="28"/>
          <w:szCs w:val="34"/>
        </w:rPr>
        <w:t xml:space="preserve">y comparte la categoría con instituciones de relevancia </w:t>
      </w:r>
      <w:r>
        <w:rPr>
          <w:rFonts w:ascii="Calibri" w:hAnsi="Calibri"/>
          <w:color w:val="262626"/>
          <w:sz w:val="28"/>
          <w:szCs w:val="34"/>
        </w:rPr>
        <w:t>nacional</w:t>
      </w:r>
      <w:r w:rsidR="001C75BE">
        <w:rPr>
          <w:rFonts w:ascii="Calibri" w:hAnsi="Calibri"/>
          <w:color w:val="262626"/>
          <w:sz w:val="28"/>
          <w:szCs w:val="34"/>
        </w:rPr>
        <w:t xml:space="preserve"> como</w:t>
      </w:r>
      <w:r w:rsidR="001C75BE" w:rsidRPr="00337542">
        <w:rPr>
          <w:rFonts w:ascii="Calibri" w:hAnsi="Calibri"/>
          <w:color w:val="262626"/>
          <w:sz w:val="28"/>
          <w:szCs w:val="34"/>
        </w:rPr>
        <w:t xml:space="preserve"> </w:t>
      </w:r>
      <w:r>
        <w:rPr>
          <w:rFonts w:ascii="Calibri" w:hAnsi="Calibri"/>
          <w:color w:val="262626"/>
          <w:sz w:val="28"/>
          <w:szCs w:val="34"/>
        </w:rPr>
        <w:t>GRADE</w:t>
      </w:r>
      <w:r w:rsidR="00365F9F">
        <w:rPr>
          <w:rFonts w:ascii="Calibri" w:hAnsi="Calibri"/>
          <w:color w:val="262626"/>
          <w:sz w:val="28"/>
          <w:szCs w:val="34"/>
        </w:rPr>
        <w:t xml:space="preserve">, el </w:t>
      </w:r>
      <w:r w:rsidRPr="006547D2">
        <w:rPr>
          <w:rFonts w:ascii="Calibri" w:hAnsi="Calibri"/>
          <w:color w:val="262626"/>
          <w:sz w:val="28"/>
          <w:szCs w:val="34"/>
        </w:rPr>
        <w:t>Instituto de Estudios Peruanos</w:t>
      </w:r>
      <w:r w:rsidR="00365F9F">
        <w:rPr>
          <w:rFonts w:ascii="Calibri" w:hAnsi="Calibri"/>
          <w:color w:val="262626"/>
          <w:sz w:val="28"/>
          <w:szCs w:val="34"/>
        </w:rPr>
        <w:t>, que también es integrante del GPC</w:t>
      </w:r>
      <w:r w:rsidR="00B62E25">
        <w:rPr>
          <w:rFonts w:ascii="Calibri" w:hAnsi="Calibri"/>
          <w:color w:val="262626"/>
          <w:sz w:val="28"/>
          <w:szCs w:val="34"/>
        </w:rPr>
        <w:t>,</w:t>
      </w:r>
      <w:r w:rsidR="00365F9F">
        <w:rPr>
          <w:rFonts w:ascii="Calibri" w:hAnsi="Calibri"/>
          <w:color w:val="262626"/>
          <w:sz w:val="28"/>
          <w:szCs w:val="34"/>
        </w:rPr>
        <w:t xml:space="preserve"> y el Instituto Libertad y Democracia.</w:t>
      </w:r>
    </w:p>
    <w:p w:rsidR="001C75BE" w:rsidRPr="00337542" w:rsidRDefault="001C75BE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46"/>
        </w:rPr>
      </w:pPr>
    </w:p>
    <w:p w:rsidR="001C75BE" w:rsidRDefault="001C75BE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46"/>
        </w:rPr>
      </w:pPr>
      <w:r w:rsidRPr="00172B68">
        <w:rPr>
          <w:rFonts w:ascii="Calibri" w:hAnsi="Calibri" w:cs="Calibri"/>
          <w:sz w:val="28"/>
          <w:szCs w:val="46"/>
        </w:rPr>
        <w:t>Los</w:t>
      </w:r>
      <w:r>
        <w:rPr>
          <w:rFonts w:ascii="Calibri" w:hAnsi="Calibri" w:cs="Calibri"/>
          <w:sz w:val="28"/>
          <w:szCs w:val="46"/>
        </w:rPr>
        <w:t xml:space="preserve"> “think tanks” son </w:t>
      </w:r>
      <w:r w:rsidRPr="00337542">
        <w:rPr>
          <w:rFonts w:ascii="Calibri" w:hAnsi="Calibri" w:cs="Calibri"/>
          <w:sz w:val="28"/>
          <w:szCs w:val="46"/>
        </w:rPr>
        <w:t>organizaciones que gener</w:t>
      </w:r>
      <w:r>
        <w:rPr>
          <w:rFonts w:ascii="Calibri" w:hAnsi="Calibri" w:cs="Calibri"/>
          <w:sz w:val="28"/>
          <w:szCs w:val="46"/>
        </w:rPr>
        <w:t>a</w:t>
      </w:r>
      <w:r w:rsidRPr="00337542">
        <w:rPr>
          <w:rFonts w:ascii="Calibri" w:hAnsi="Calibri" w:cs="Calibri"/>
          <w:sz w:val="28"/>
          <w:szCs w:val="46"/>
        </w:rPr>
        <w:t xml:space="preserve">n políticas orientadas a la investigación, </w:t>
      </w:r>
      <w:r>
        <w:rPr>
          <w:rFonts w:ascii="Calibri" w:hAnsi="Calibri" w:cs="Calibri"/>
          <w:sz w:val="28"/>
          <w:szCs w:val="46"/>
        </w:rPr>
        <w:t>análisis y asesoramiento</w:t>
      </w:r>
      <w:r w:rsidRPr="00337542">
        <w:rPr>
          <w:rFonts w:ascii="Calibri" w:hAnsi="Calibri" w:cs="Calibri"/>
          <w:sz w:val="28"/>
          <w:szCs w:val="46"/>
        </w:rPr>
        <w:t xml:space="preserve"> que permiten a las autoridades y al público tomar decisiones informadas sobre cuestiones de política pública.</w:t>
      </w:r>
    </w:p>
    <w:p w:rsidR="001C75BE" w:rsidRPr="00337542" w:rsidRDefault="001C75BE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sz w:val="28"/>
          <w:szCs w:val="46"/>
        </w:rPr>
      </w:pPr>
    </w:p>
    <w:p w:rsidR="001C75BE" w:rsidRDefault="001C75BE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46"/>
        </w:rPr>
      </w:pPr>
      <w:r w:rsidRPr="00337542">
        <w:rPr>
          <w:rFonts w:ascii="Calibri" w:hAnsi="Calibri" w:cs="Calibri"/>
          <w:sz w:val="28"/>
          <w:szCs w:val="46"/>
        </w:rPr>
        <w:t>Estas instituciones actúan como un puente entre las comunidades académicas y políticas y entre los estados y la sociedad civil, en asuntos de interés público, como voces independientes que convierten la investigación básica y aplicada en un lenguaje y una forma que sea comprensible, confiable y accesible para los políticos y el público.</w:t>
      </w:r>
    </w:p>
    <w:p w:rsidR="001C75BE" w:rsidRDefault="001C75BE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46"/>
        </w:rPr>
      </w:pPr>
    </w:p>
    <w:p w:rsidR="001C75BE" w:rsidRDefault="001C75BE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46"/>
        </w:rPr>
      </w:pPr>
      <w:r>
        <w:rPr>
          <w:rFonts w:ascii="Calibri" w:hAnsi="Calibri" w:cs="Calibri"/>
          <w:sz w:val="28"/>
          <w:szCs w:val="46"/>
        </w:rPr>
        <w:t xml:space="preserve">Algunos criterios para la nominación de las instituciones son la calidad y </w:t>
      </w:r>
      <w:r>
        <w:rPr>
          <w:rFonts w:ascii="Calibri" w:hAnsi="Calibri" w:cs="Calibri"/>
          <w:sz w:val="28"/>
          <w:szCs w:val="46"/>
        </w:rPr>
        <w:lastRenderedPageBreak/>
        <w:t>compromiso del liderazgo</w:t>
      </w:r>
      <w:r w:rsidR="000A0897">
        <w:rPr>
          <w:rFonts w:ascii="Calibri" w:hAnsi="Calibri" w:cs="Calibri"/>
          <w:sz w:val="28"/>
          <w:szCs w:val="46"/>
        </w:rPr>
        <w:t>,</w:t>
      </w:r>
      <w:r>
        <w:rPr>
          <w:rFonts w:ascii="Calibri" w:hAnsi="Calibri" w:cs="Calibri"/>
          <w:sz w:val="28"/>
          <w:szCs w:val="46"/>
        </w:rPr>
        <w:t xml:space="preserve"> reputación del personal</w:t>
      </w:r>
      <w:r w:rsidR="000A0897">
        <w:rPr>
          <w:rFonts w:ascii="Calibri" w:hAnsi="Calibri" w:cs="Calibri"/>
          <w:sz w:val="28"/>
          <w:szCs w:val="46"/>
        </w:rPr>
        <w:t>,</w:t>
      </w:r>
      <w:r>
        <w:rPr>
          <w:rFonts w:ascii="Calibri" w:hAnsi="Calibri" w:cs="Calibri"/>
          <w:sz w:val="28"/>
          <w:szCs w:val="46"/>
        </w:rPr>
        <w:t xml:space="preserve"> calidad y compromiso de la investigación y análisis</w:t>
      </w:r>
      <w:r w:rsidR="000A0897">
        <w:rPr>
          <w:rFonts w:ascii="Calibri" w:hAnsi="Calibri" w:cs="Calibri"/>
          <w:sz w:val="28"/>
          <w:szCs w:val="46"/>
        </w:rPr>
        <w:t>,</w:t>
      </w:r>
      <w:r>
        <w:rPr>
          <w:rFonts w:ascii="Calibri" w:hAnsi="Calibri" w:cs="Calibri"/>
          <w:sz w:val="28"/>
          <w:szCs w:val="46"/>
        </w:rPr>
        <w:t xml:space="preserve"> independencia política</w:t>
      </w:r>
      <w:r w:rsidR="000A0897">
        <w:rPr>
          <w:rFonts w:ascii="Calibri" w:hAnsi="Calibri" w:cs="Calibri"/>
          <w:sz w:val="28"/>
          <w:szCs w:val="46"/>
        </w:rPr>
        <w:t>,</w:t>
      </w:r>
      <w:r>
        <w:rPr>
          <w:rFonts w:ascii="Calibri" w:hAnsi="Calibri" w:cs="Calibri"/>
          <w:sz w:val="28"/>
          <w:szCs w:val="46"/>
        </w:rPr>
        <w:t xml:space="preserve"> calidad y rigurosidad orientada y accesible a decisores políticos, medios de comunicación y población en general</w:t>
      </w:r>
      <w:r w:rsidR="000A0897">
        <w:rPr>
          <w:rFonts w:ascii="Calibri" w:hAnsi="Calibri" w:cs="Calibri"/>
          <w:sz w:val="28"/>
          <w:szCs w:val="46"/>
        </w:rPr>
        <w:t>, así como la</w:t>
      </w:r>
      <w:r>
        <w:rPr>
          <w:rFonts w:ascii="Calibri" w:hAnsi="Calibri" w:cs="Calibri"/>
          <w:sz w:val="28"/>
          <w:szCs w:val="46"/>
        </w:rPr>
        <w:t xml:space="preserve"> calidad y alcance de publicaciones y otros formatos de difusión.</w:t>
      </w:r>
    </w:p>
    <w:p w:rsidR="005339CA" w:rsidRDefault="005339CA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46"/>
        </w:rPr>
      </w:pPr>
    </w:p>
    <w:p w:rsidR="005339CA" w:rsidRDefault="005339CA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46"/>
        </w:rPr>
      </w:pPr>
      <w:r>
        <w:rPr>
          <w:rFonts w:ascii="Calibri" w:hAnsi="Calibri" w:cs="Calibri"/>
          <w:sz w:val="28"/>
          <w:szCs w:val="46"/>
        </w:rPr>
        <w:t xml:space="preserve">Fuente: </w:t>
      </w:r>
      <w:hyperlink r:id="rId5" w:history="1">
        <w:r w:rsidR="003E6E3E" w:rsidRPr="00E823AC">
          <w:rPr>
            <w:rStyle w:val="Hipervnculo"/>
            <w:rFonts w:ascii="Calibri" w:hAnsi="Calibri" w:cs="Calibri"/>
            <w:sz w:val="20"/>
            <w:szCs w:val="46"/>
          </w:rPr>
          <w:t>http://repository.upenn.edu/cgi/viewcontent.cgi?article=1009&amp;context=think_tanks</w:t>
        </w:r>
      </w:hyperlink>
      <w:r w:rsidR="003E6E3E">
        <w:rPr>
          <w:rFonts w:ascii="Calibri" w:hAnsi="Calibri" w:cs="Calibri"/>
          <w:sz w:val="20"/>
          <w:szCs w:val="46"/>
        </w:rPr>
        <w:t xml:space="preserve"> </w:t>
      </w:r>
    </w:p>
    <w:p w:rsidR="005339CA" w:rsidRPr="005339CA" w:rsidRDefault="005339CA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46"/>
        </w:rPr>
      </w:pPr>
    </w:p>
    <w:sectPr w:rsidR="005339CA" w:rsidRPr="005339CA" w:rsidSect="001C75B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11"/>
    <w:rsid w:val="000A0897"/>
    <w:rsid w:val="001A6534"/>
    <w:rsid w:val="001C75BE"/>
    <w:rsid w:val="00365F9F"/>
    <w:rsid w:val="003E6E3E"/>
    <w:rsid w:val="005339CA"/>
    <w:rsid w:val="0057194F"/>
    <w:rsid w:val="006547D2"/>
    <w:rsid w:val="00A47DB7"/>
    <w:rsid w:val="00B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714FDD-BD3D-484D-ABC2-91F26D58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A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211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D1211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33754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853CC"/>
    <w:rPr>
      <w:color w:val="800080"/>
      <w:u w:val="single"/>
    </w:rPr>
  </w:style>
  <w:style w:type="paragraph" w:customStyle="1" w:styleId="Car">
    <w:name w:val=" Car"/>
    <w:basedOn w:val="Normal"/>
    <w:rsid w:val="005339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pository.upenn.edu/cgi/viewcontent.cgi?article=1009&amp;context=think_tank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JUBILEO</Company>
  <LinksUpToDate>false</LinksUpToDate>
  <CharactersWithSpaces>2284</CharactersWithSpaces>
  <SharedDoc>false</SharedDoc>
  <HLinks>
    <vt:vector size="6" baseType="variant">
      <vt:variant>
        <vt:i4>1835044</vt:i4>
      </vt:variant>
      <vt:variant>
        <vt:i4>3</vt:i4>
      </vt:variant>
      <vt:variant>
        <vt:i4>0</vt:i4>
      </vt:variant>
      <vt:variant>
        <vt:i4>5</vt:i4>
      </vt:variant>
      <vt:variant>
        <vt:lpwstr>http://repository.upenn.edu/cgi/viewcontent.cgi?article=1009&amp;context=think_tanks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Jubileo MAC</dc:creator>
  <cp:keywords/>
  <cp:lastModifiedBy>Gustavo</cp:lastModifiedBy>
  <cp:revision>2</cp:revision>
  <cp:lastPrinted>2015-02-06T20:22:00Z</cp:lastPrinted>
  <dcterms:created xsi:type="dcterms:W3CDTF">2016-04-14T16:03:00Z</dcterms:created>
  <dcterms:modified xsi:type="dcterms:W3CDTF">2016-04-14T16:03:00Z</dcterms:modified>
</cp:coreProperties>
</file>